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0004" w:type="dxa"/>
        <w:jc w:val="center"/>
        <w:tblLook w:val="04A0" w:firstRow="1" w:lastRow="0" w:firstColumn="1" w:lastColumn="0" w:noHBand="0" w:noVBand="1"/>
      </w:tblPr>
      <w:tblGrid>
        <w:gridCol w:w="10004"/>
      </w:tblGrid>
      <w:tr w:rsidR="00273124" w:rsidTr="00825CBD">
        <w:trPr>
          <w:trHeight w:val="1085"/>
          <w:jc w:val="center"/>
        </w:trPr>
        <w:tc>
          <w:tcPr>
            <w:tcW w:w="10004" w:type="dxa"/>
          </w:tcPr>
          <w:p w:rsidR="00273124" w:rsidRPr="00B44AB5" w:rsidRDefault="00273124" w:rsidP="00825CBD">
            <w:pPr>
              <w:spacing w:before="240" w:after="240"/>
              <w:jc w:val="center"/>
              <w:rPr>
                <w:b/>
                <w:sz w:val="44"/>
                <w:szCs w:val="44"/>
              </w:rPr>
            </w:pPr>
            <w:r w:rsidRPr="00B545E0">
              <w:rPr>
                <w:b/>
                <w:sz w:val="44"/>
                <w:szCs w:val="44"/>
              </w:rPr>
              <w:t>BREST sites extérieurs</w:t>
            </w:r>
          </w:p>
        </w:tc>
      </w:tr>
      <w:tr w:rsidR="00273124" w:rsidTr="00825CBD">
        <w:trPr>
          <w:trHeight w:val="2474"/>
          <w:jc w:val="center"/>
        </w:trPr>
        <w:tc>
          <w:tcPr>
            <w:tcW w:w="10004" w:type="dxa"/>
          </w:tcPr>
          <w:p w:rsidR="00273124" w:rsidRPr="00B44AB5" w:rsidRDefault="00273124" w:rsidP="00825CBD">
            <w:pPr>
              <w:spacing w:before="240" w:after="240"/>
              <w:jc w:val="center"/>
              <w:rPr>
                <w:b/>
                <w:sz w:val="44"/>
                <w:szCs w:val="44"/>
                <w:u w:val="single"/>
              </w:rPr>
            </w:pPr>
            <w:r w:rsidRPr="00B44AB5">
              <w:rPr>
                <w:b/>
                <w:sz w:val="44"/>
                <w:szCs w:val="44"/>
                <w:u w:val="single"/>
              </w:rPr>
              <w:t>Objet du marché :</w:t>
            </w:r>
          </w:p>
          <w:p w:rsidR="00273124" w:rsidRPr="00B44AB5" w:rsidRDefault="00273124" w:rsidP="00825CBD">
            <w:pPr>
              <w:spacing w:before="240" w:after="240"/>
              <w:jc w:val="center"/>
              <w:rPr>
                <w:b/>
                <w:sz w:val="44"/>
                <w:szCs w:val="44"/>
              </w:rPr>
            </w:pPr>
            <w:r w:rsidRPr="00B44AB5">
              <w:rPr>
                <w:b/>
                <w:sz w:val="44"/>
                <w:szCs w:val="44"/>
              </w:rPr>
              <w:t>Marché d’exploitation et de maintenance multi techniques</w:t>
            </w:r>
          </w:p>
        </w:tc>
      </w:tr>
      <w:tr w:rsidR="00273124" w:rsidRPr="00285769" w:rsidTr="00825CBD">
        <w:trPr>
          <w:trHeight w:val="1032"/>
          <w:jc w:val="center"/>
        </w:trPr>
        <w:tc>
          <w:tcPr>
            <w:tcW w:w="10004" w:type="dxa"/>
          </w:tcPr>
          <w:p w:rsidR="00273124" w:rsidRPr="00B44AB5" w:rsidRDefault="00273124" w:rsidP="00825CBD">
            <w:pPr>
              <w:spacing w:before="240" w:after="240"/>
              <w:jc w:val="center"/>
              <w:rPr>
                <w:b/>
                <w:sz w:val="40"/>
                <w:szCs w:val="40"/>
              </w:rPr>
            </w:pPr>
            <w:r w:rsidRPr="00B44AB5">
              <w:rPr>
                <w:b/>
                <w:sz w:val="40"/>
                <w:szCs w:val="40"/>
              </w:rPr>
              <w:t>Cahier des Clauses Techniques Particulières</w:t>
            </w:r>
          </w:p>
        </w:tc>
      </w:tr>
      <w:tr w:rsidR="00273124" w:rsidRPr="00285769" w:rsidTr="00825CBD">
        <w:trPr>
          <w:trHeight w:val="1349"/>
          <w:jc w:val="center"/>
        </w:trPr>
        <w:tc>
          <w:tcPr>
            <w:tcW w:w="10004" w:type="dxa"/>
          </w:tcPr>
          <w:p w:rsidR="00273124" w:rsidRPr="004426A9" w:rsidRDefault="00273124" w:rsidP="00273124">
            <w:pPr>
              <w:pStyle w:val="Titre1"/>
              <w:numPr>
                <w:ilvl w:val="0"/>
                <w:numId w:val="0"/>
              </w:numPr>
              <w:ind w:left="789"/>
              <w:jc w:val="left"/>
              <w:outlineLvl w:val="0"/>
              <w:rPr>
                <w:color w:val="000000" w:themeColor="text1"/>
                <w:sz w:val="44"/>
                <w:szCs w:val="44"/>
              </w:rPr>
            </w:pPr>
            <w:bookmarkStart w:id="0" w:name="_Toc161318613"/>
            <w:bookmarkStart w:id="1" w:name="_Toc161318760"/>
            <w:bookmarkStart w:id="2" w:name="_Toc161320685"/>
            <w:bookmarkStart w:id="3" w:name="_Toc191052276"/>
            <w:bookmarkStart w:id="4" w:name="_GoBack"/>
            <w:bookmarkEnd w:id="4"/>
            <w:r>
              <w:rPr>
                <w:color w:val="31849B"/>
                <w:sz w:val="44"/>
                <w:szCs w:val="44"/>
              </w:rPr>
              <w:t>Section technique 02.5</w:t>
            </w:r>
            <w:r w:rsidRPr="004426A9">
              <w:rPr>
                <w:color w:val="31849B"/>
                <w:sz w:val="44"/>
                <w:szCs w:val="44"/>
              </w:rPr>
              <w:t xml:space="preserve"> – </w:t>
            </w:r>
            <w:bookmarkEnd w:id="0"/>
            <w:bookmarkEnd w:id="1"/>
            <w:bookmarkEnd w:id="2"/>
            <w:bookmarkEnd w:id="3"/>
            <w:r>
              <w:rPr>
                <w:color w:val="31849B"/>
                <w:sz w:val="44"/>
                <w:szCs w:val="44"/>
              </w:rPr>
              <w:t>Disconnecteurs</w:t>
            </w:r>
          </w:p>
        </w:tc>
      </w:tr>
    </w:tbl>
    <w:p w:rsidR="00273124" w:rsidRDefault="00273124">
      <w:pPr>
        <w:rPr>
          <w:rFonts w:ascii="Calibri" w:hAnsi="Calibri"/>
          <w:b/>
        </w:rPr>
      </w:pPr>
    </w:p>
    <w:p w:rsidR="00273124" w:rsidRDefault="00273124">
      <w:pPr>
        <w:rPr>
          <w:rFonts w:ascii="Calibri" w:hAnsi="Calibri"/>
          <w:b/>
        </w:rPr>
      </w:pPr>
      <w:r>
        <w:rPr>
          <w:rFonts w:ascii="Calibri" w:hAnsi="Calibri"/>
          <w:b/>
        </w:rPr>
        <w:br w:type="page"/>
      </w:r>
    </w:p>
    <w:p w:rsidR="00CC730A" w:rsidRPr="00F03271" w:rsidRDefault="00CC730A" w:rsidP="00CC730A">
      <w:pPr>
        <w:shd w:val="clear" w:color="auto" w:fill="EEECE1"/>
        <w:rPr>
          <w:rFonts w:ascii="Calibri" w:hAnsi="Calibri"/>
          <w:b/>
        </w:rPr>
      </w:pPr>
      <w:r w:rsidRPr="0072056D">
        <w:rPr>
          <w:rFonts w:ascii="Calibri" w:hAnsi="Calibri"/>
          <w:b/>
        </w:rPr>
        <w:lastRenderedPageBreak/>
        <w:t xml:space="preserve">1. </w:t>
      </w:r>
      <w:r w:rsidRPr="0072056D">
        <w:rPr>
          <w:rFonts w:ascii="Calibri" w:hAnsi="Calibri"/>
          <w:b/>
        </w:rPr>
        <w:tab/>
      </w:r>
      <w:r w:rsidRPr="00CB0B1E">
        <w:rPr>
          <w:rFonts w:ascii="Calibri" w:hAnsi="Calibri"/>
          <w:b/>
        </w:rPr>
        <w:t>TEXTES ET DOCUMENTS DE REFERENCE</w:t>
      </w:r>
    </w:p>
    <w:p w:rsidR="00CC730A" w:rsidRPr="0099072F" w:rsidRDefault="00CC730A" w:rsidP="00CC730A">
      <w:pPr>
        <w:pStyle w:val="Style1"/>
      </w:pPr>
      <w:r w:rsidRPr="0099072F">
        <w:t>Décret n°2001-1220 du 20 décembre 2001 - relatif aux eaux destinées à la consommation humaine, à l'exclusion des eaux minérales naturelles.</w:t>
      </w:r>
    </w:p>
    <w:p w:rsidR="00CC730A" w:rsidRPr="0099072F" w:rsidRDefault="00CC730A" w:rsidP="00CC730A">
      <w:pPr>
        <w:numPr>
          <w:ilvl w:val="0"/>
          <w:numId w:val="1"/>
        </w:numPr>
        <w:spacing w:before="120" w:after="120" w:line="240" w:lineRule="auto"/>
        <w:jc w:val="both"/>
      </w:pPr>
      <w:r w:rsidRPr="003B3AFC">
        <w:t>Article</w:t>
      </w:r>
      <w:r w:rsidRPr="0099072F">
        <w:t xml:space="preserve"> R.1321 et L.1321 du Code de la Santé Publique</w:t>
      </w:r>
    </w:p>
    <w:p w:rsidR="00CC730A" w:rsidRPr="003B3AFC" w:rsidRDefault="00CC730A" w:rsidP="00CC730A">
      <w:pPr>
        <w:rPr>
          <w:i/>
        </w:rPr>
      </w:pPr>
      <w:r w:rsidRPr="003B3AFC">
        <w:rPr>
          <w:i/>
        </w:rPr>
        <w:t>Article R.1321-55 "Les installations de distribution d'eau définies à l'article R.1321-43 doivent être conçues, réalisées et entretenues de manière à empêcher l'introduction ou l'accumulation de micro-organismes, de parasites ou de substances constituant un danger potentiel pour la santé des personnes."</w:t>
      </w:r>
    </w:p>
    <w:p w:rsidR="00CC730A" w:rsidRPr="0099072F" w:rsidRDefault="00CC730A" w:rsidP="00CC730A">
      <w:r w:rsidRPr="003B3AFC">
        <w:rPr>
          <w:i/>
        </w:rPr>
        <w:t>Article R.1321-61 "Les dispositifs de protection et de traitement mentionnés aux articles R.1321-53 et R.1321-57 équipant les installations collectives de distribution doivent être vérifiés et entretenus."</w:t>
      </w:r>
    </w:p>
    <w:p w:rsidR="00CC730A" w:rsidRPr="0099072F" w:rsidRDefault="00CC730A" w:rsidP="00CC730A">
      <w:pPr>
        <w:numPr>
          <w:ilvl w:val="0"/>
          <w:numId w:val="1"/>
        </w:numPr>
        <w:spacing w:before="120" w:after="120" w:line="240" w:lineRule="auto"/>
        <w:jc w:val="both"/>
      </w:pPr>
      <w:r w:rsidRPr="003B3AFC">
        <w:t>Norme</w:t>
      </w:r>
      <w:r w:rsidRPr="0099072F">
        <w:t xml:space="preserve"> NF EN 1717</w:t>
      </w:r>
      <w:r>
        <w:t>, R</w:t>
      </w:r>
      <w:r w:rsidRPr="0099072F">
        <w:t>éseaux intérieurs, moyens à mettre en œuvre et les dispositifs divers destinés à prévenir la pollution de l'eau potable, s'appliquant à tous les équipements raccordés à un réseau intérieur de distribution d'eau destinée à la consommation humaine".</w:t>
      </w:r>
    </w:p>
    <w:p w:rsidR="00CC730A" w:rsidRPr="0099072F" w:rsidRDefault="00CC730A" w:rsidP="00CC730A">
      <w:pPr>
        <w:numPr>
          <w:ilvl w:val="0"/>
          <w:numId w:val="1"/>
        </w:numPr>
        <w:spacing w:before="120" w:after="120" w:line="240" w:lineRule="auto"/>
        <w:jc w:val="both"/>
      </w:pPr>
      <w:r w:rsidRPr="003B3AFC">
        <w:t>Norme</w:t>
      </w:r>
      <w:r w:rsidRPr="0099072F">
        <w:t xml:space="preserve"> NF P 43010 - "Disconnecteurs à zone de pression réduite contrôlable"</w:t>
      </w:r>
    </w:p>
    <w:p w:rsidR="00CC730A" w:rsidRDefault="00CC730A" w:rsidP="00CC730A">
      <w:pPr>
        <w:numPr>
          <w:ilvl w:val="0"/>
          <w:numId w:val="1"/>
        </w:numPr>
        <w:spacing w:before="120" w:after="120" w:line="240" w:lineRule="auto"/>
        <w:jc w:val="both"/>
      </w:pPr>
      <w:r w:rsidRPr="0099072F">
        <w:t>Norme NF P 43-018 - "Appareillage de contrôle sur site des ensembles de protection sanitaire des réseaux d'eau potable"</w:t>
      </w:r>
      <w:r>
        <w:t>.</w:t>
      </w:r>
    </w:p>
    <w:p w:rsidR="00CC730A" w:rsidRPr="0099072F" w:rsidRDefault="00CC730A" w:rsidP="00CC730A">
      <w:pPr>
        <w:numPr>
          <w:ilvl w:val="0"/>
          <w:numId w:val="1"/>
        </w:numPr>
        <w:spacing w:before="120" w:after="120" w:line="240" w:lineRule="auto"/>
        <w:jc w:val="both"/>
      </w:pPr>
      <w:r>
        <w:t>Normes, lois, décrets, arrêtés, circulaires et instructions ministériels, préfectoraux, communaux en vigueur et non cités. Les textes auxquels les documents précédents font référence et les textes d’application qui en découlent.</w:t>
      </w:r>
    </w:p>
    <w:p w:rsidR="00CC730A" w:rsidRDefault="00CC730A"/>
    <w:p w:rsidR="00CC730A" w:rsidRPr="00CB0B1E" w:rsidRDefault="00CC730A" w:rsidP="00CC730A">
      <w:pPr>
        <w:shd w:val="clear" w:color="auto" w:fill="EEECE1"/>
        <w:rPr>
          <w:rFonts w:ascii="Calibri" w:hAnsi="Calibri"/>
          <w:b/>
        </w:rPr>
      </w:pPr>
      <w:r w:rsidRPr="00CB0B1E">
        <w:rPr>
          <w:rFonts w:ascii="Calibri" w:hAnsi="Calibri"/>
          <w:b/>
        </w:rPr>
        <w:t xml:space="preserve">2. </w:t>
      </w:r>
      <w:r w:rsidRPr="00CB0B1E">
        <w:rPr>
          <w:rFonts w:ascii="Calibri" w:hAnsi="Calibri"/>
          <w:b/>
        </w:rPr>
        <w:tab/>
        <w:t>MATERIELS CONCERNES</w:t>
      </w:r>
    </w:p>
    <w:p w:rsidR="00CC730A" w:rsidRDefault="00CC730A" w:rsidP="00CC730A">
      <w:pPr>
        <w:jc w:val="both"/>
        <w:rPr>
          <w:rFonts w:ascii="Calibri" w:hAnsi="Calibri"/>
        </w:rPr>
      </w:pPr>
      <w:r w:rsidRPr="00CD4B38">
        <w:rPr>
          <w:rFonts w:ascii="Calibri" w:hAnsi="Calibri"/>
        </w:rPr>
        <w:t>Pour tous</w:t>
      </w:r>
      <w:r>
        <w:rPr>
          <w:rFonts w:ascii="Calibri" w:hAnsi="Calibri"/>
        </w:rPr>
        <w:t xml:space="preserve"> les bâtiments ou locaux dans le périmètre du marché</w:t>
      </w:r>
      <w:r w:rsidRPr="00CD4B38">
        <w:rPr>
          <w:rFonts w:ascii="Calibri" w:hAnsi="Calibri"/>
        </w:rPr>
        <w:t>, les installations concernées sont composées</w:t>
      </w:r>
      <w:r>
        <w:rPr>
          <w:rFonts w:ascii="Calibri" w:hAnsi="Calibri"/>
        </w:rPr>
        <w:t xml:space="preserve"> (</w:t>
      </w:r>
      <w:proofErr w:type="spellStart"/>
      <w:r>
        <w:t>Cf</w:t>
      </w:r>
      <w:proofErr w:type="spellEnd"/>
      <w:r>
        <w:t xml:space="preserve"> CAT 02.05)</w:t>
      </w:r>
      <w:r w:rsidRPr="00CD4B38">
        <w:rPr>
          <w:rFonts w:ascii="Calibri" w:hAnsi="Calibri"/>
        </w:rPr>
        <w:t> :</w:t>
      </w:r>
    </w:p>
    <w:p w:rsidR="00CC730A" w:rsidRDefault="00CC730A" w:rsidP="00CC730A">
      <w:pPr>
        <w:pStyle w:val="Paragraphedeliste"/>
        <w:numPr>
          <w:ilvl w:val="0"/>
          <w:numId w:val="2"/>
        </w:numPr>
      </w:pPr>
      <w:r>
        <w:t>Les disconnecteurs et clapets anti-retour de protection des circuits d’alimentation en eau potable</w:t>
      </w:r>
    </w:p>
    <w:p w:rsidR="00CC730A" w:rsidRDefault="00CC730A" w:rsidP="00CC730A">
      <w:pPr>
        <w:pStyle w:val="Paragraphedeliste"/>
        <w:numPr>
          <w:ilvl w:val="0"/>
          <w:numId w:val="2"/>
        </w:numPr>
      </w:pPr>
      <w:r>
        <w:t>Les disconnecteurs et clapets anti-retour sur réseau d’alimentation des installations de chauffage.</w:t>
      </w:r>
    </w:p>
    <w:p w:rsidR="00CC730A" w:rsidRPr="00984D68" w:rsidRDefault="00CC730A" w:rsidP="00CC730A">
      <w:pPr>
        <w:numPr>
          <w:ilvl w:val="0"/>
          <w:numId w:val="2"/>
        </w:numPr>
        <w:spacing w:after="0" w:line="240" w:lineRule="auto"/>
        <w:jc w:val="both"/>
      </w:pPr>
      <w:r w:rsidRPr="00984D68">
        <w:t>EA : clapet anti-retour simple contrôlable</w:t>
      </w:r>
      <w:r>
        <w:t xml:space="preserve"> (C)</w:t>
      </w:r>
    </w:p>
    <w:p w:rsidR="00CC730A" w:rsidRPr="00FB1DF7" w:rsidRDefault="00CC730A" w:rsidP="00CC730A">
      <w:pPr>
        <w:numPr>
          <w:ilvl w:val="0"/>
          <w:numId w:val="2"/>
        </w:numPr>
        <w:spacing w:after="0" w:line="240" w:lineRule="auto"/>
        <w:jc w:val="both"/>
      </w:pPr>
      <w:r w:rsidRPr="00984D68">
        <w:t>EC : clapet anti-retour double contrôlable</w:t>
      </w:r>
      <w:r>
        <w:t xml:space="preserve"> (C)</w:t>
      </w:r>
    </w:p>
    <w:p w:rsidR="00CC730A" w:rsidRPr="00984D68" w:rsidRDefault="00CC730A" w:rsidP="00CC730A">
      <w:pPr>
        <w:numPr>
          <w:ilvl w:val="0"/>
          <w:numId w:val="2"/>
        </w:numPr>
        <w:spacing w:after="0" w:line="240" w:lineRule="auto"/>
        <w:jc w:val="both"/>
      </w:pPr>
      <w:r w:rsidRPr="00984D68">
        <w:t>BA : disconnecteur à zones de pressions réduites contrôlables</w:t>
      </w:r>
      <w:r>
        <w:t xml:space="preserve"> (C)</w:t>
      </w:r>
    </w:p>
    <w:p w:rsidR="00CC730A" w:rsidRPr="00984D68" w:rsidRDefault="00CC730A" w:rsidP="00CC730A">
      <w:pPr>
        <w:numPr>
          <w:ilvl w:val="0"/>
          <w:numId w:val="2"/>
        </w:numPr>
        <w:spacing w:after="0" w:line="240" w:lineRule="auto"/>
        <w:jc w:val="both"/>
      </w:pPr>
      <w:proofErr w:type="gramStart"/>
      <w:r w:rsidRPr="00984D68">
        <w:t>CA</w:t>
      </w:r>
      <w:proofErr w:type="gramEnd"/>
      <w:r w:rsidRPr="00984D68">
        <w:t xml:space="preserve"> : disconnecteur non contrôlable</w:t>
      </w:r>
      <w:r>
        <w:t xml:space="preserve"> (NC)</w:t>
      </w:r>
    </w:p>
    <w:p w:rsidR="00CC730A" w:rsidRPr="00CC730A" w:rsidRDefault="00CC730A" w:rsidP="00CC730A">
      <w:pPr>
        <w:pStyle w:val="Paragraphedeliste"/>
        <w:numPr>
          <w:ilvl w:val="0"/>
          <w:numId w:val="2"/>
        </w:numPr>
        <w:jc w:val="both"/>
        <w:rPr>
          <w:rFonts w:ascii="Calibri" w:hAnsi="Calibri"/>
        </w:rPr>
      </w:pPr>
      <w:r w:rsidRPr="00984D68">
        <w:t>HA : disconnecteur d'extrémité</w:t>
      </w:r>
      <w:r>
        <w:t xml:space="preserve"> (NC)</w:t>
      </w:r>
    </w:p>
    <w:p w:rsidR="00CC730A" w:rsidRPr="00CC730A" w:rsidRDefault="00CC730A" w:rsidP="00CC730A">
      <w:pPr>
        <w:pStyle w:val="Paragraphedeliste"/>
        <w:jc w:val="both"/>
        <w:rPr>
          <w:rFonts w:ascii="Calibri" w:hAnsi="Calibri"/>
        </w:rPr>
      </w:pPr>
    </w:p>
    <w:p w:rsidR="00CC730A" w:rsidRPr="00CC730A" w:rsidRDefault="00CC730A" w:rsidP="00CC730A">
      <w:pPr>
        <w:shd w:val="clear" w:color="auto" w:fill="EEECE1"/>
        <w:rPr>
          <w:rFonts w:ascii="Calibri" w:hAnsi="Calibri"/>
          <w:b/>
          <w: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C730A">
        <w:rPr>
          <w:rFonts w:ascii="Calibri" w:hAnsi="Calibri"/>
          <w:b/>
        </w:rPr>
        <w:t xml:space="preserve">3. </w:t>
      </w:r>
      <w:r w:rsidRPr="00CC730A">
        <w:rPr>
          <w:rFonts w:ascii="Calibri" w:hAnsi="Calibri"/>
          <w:b/>
        </w:rPr>
        <w:tab/>
        <w:t>PRESTATIONS FORFAITAIRES DE BASE</w:t>
      </w:r>
    </w:p>
    <w:p w:rsidR="00CC730A" w:rsidRDefault="00CC730A" w:rsidP="00CC730A">
      <w:pPr>
        <w:pStyle w:val="Paragraphedeliste"/>
        <w:numPr>
          <w:ilvl w:val="1"/>
          <w:numId w:val="2"/>
        </w:numPr>
        <w:spacing w:before="120" w:after="120" w:line="240" w:lineRule="auto"/>
        <w:jc w:val="both"/>
        <w:rPr>
          <w:b/>
        </w:rPr>
      </w:pPr>
      <w:r w:rsidRPr="00CC730A">
        <w:rPr>
          <w:rFonts w:ascii="Calibri" w:hAnsi="Calibri"/>
          <w:b/>
          <w:bCs/>
        </w:rPr>
        <w:t xml:space="preserve">3.1. </w:t>
      </w:r>
      <w:r>
        <w:rPr>
          <w:b/>
        </w:rPr>
        <w:t>Obligation du titulaire</w:t>
      </w:r>
    </w:p>
    <w:p w:rsidR="00CC730A" w:rsidRDefault="00CC730A" w:rsidP="00CC730A">
      <w:pPr>
        <w:pStyle w:val="Paragraphedeliste"/>
        <w:spacing w:before="120" w:after="120" w:line="240" w:lineRule="auto"/>
        <w:jc w:val="both"/>
        <w:rPr>
          <w:b/>
        </w:rPr>
      </w:pPr>
    </w:p>
    <w:p w:rsidR="00CC730A" w:rsidRPr="00CC730A" w:rsidRDefault="00CC730A" w:rsidP="00CC730A">
      <w:pPr>
        <w:pStyle w:val="Paragraphedeliste"/>
        <w:numPr>
          <w:ilvl w:val="0"/>
          <w:numId w:val="2"/>
        </w:numPr>
        <w:spacing w:before="120" w:after="120" w:line="240" w:lineRule="auto"/>
        <w:jc w:val="both"/>
      </w:pPr>
      <w:r>
        <w:rPr>
          <w:rFonts w:ascii="Calibri" w:hAnsi="Calibri"/>
          <w:bCs/>
        </w:rPr>
        <w:t>Maintenance préventive</w:t>
      </w:r>
    </w:p>
    <w:p w:rsidR="00CC730A" w:rsidRPr="002A73DB" w:rsidRDefault="00CC730A" w:rsidP="00CC730A">
      <w:r>
        <w:t>La</w:t>
      </w:r>
      <w:r w:rsidRPr="002A73DB">
        <w:t xml:space="preserve"> maintenance regroupée dans le tableau ci-</w:t>
      </w:r>
      <w:r>
        <w:t>dessous</w:t>
      </w:r>
      <w:r w:rsidRPr="002A73DB">
        <w:t xml:space="preserve">, </w:t>
      </w:r>
      <w:r>
        <w:t>est proposée</w:t>
      </w:r>
      <w:r w:rsidRPr="002A73DB">
        <w:t xml:space="preserve"> au titulaire. Il lui</w:t>
      </w:r>
      <w:r>
        <w:t xml:space="preserve"> </w:t>
      </w:r>
      <w:r w:rsidRPr="002A73DB">
        <w:t>appartient de les adapter et préciser toutes les opérations complémentaires, conformes aux</w:t>
      </w:r>
      <w:r>
        <w:t xml:space="preserve"> </w:t>
      </w:r>
      <w:r w:rsidRPr="002A73DB">
        <w:t>exigences du constructeur.</w:t>
      </w:r>
    </w:p>
    <w:tbl>
      <w:tblPr>
        <w:tblW w:w="9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0"/>
        <w:gridCol w:w="460"/>
        <w:gridCol w:w="460"/>
        <w:gridCol w:w="460"/>
        <w:gridCol w:w="460"/>
        <w:gridCol w:w="460"/>
        <w:gridCol w:w="460"/>
      </w:tblGrid>
      <w:tr w:rsidR="00273124" w:rsidRPr="00273124" w:rsidTr="00273124">
        <w:trPr>
          <w:trHeight w:val="300"/>
        </w:trPr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H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M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T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S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A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SB</w:t>
            </w:r>
          </w:p>
        </w:tc>
      </w:tr>
      <w:tr w:rsidR="00273124" w:rsidRPr="00273124" w:rsidTr="00273124">
        <w:trPr>
          <w:trHeight w:val="315"/>
        </w:trPr>
        <w:tc>
          <w:tcPr>
            <w:tcW w:w="9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Disconnecteurs </w:t>
            </w:r>
          </w:p>
        </w:tc>
      </w:tr>
      <w:tr w:rsidR="00273124" w:rsidRPr="00273124" w:rsidTr="00273124">
        <w:trPr>
          <w:trHeight w:val="168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color w:val="000000"/>
                <w:lang w:eastAsia="fr-FR"/>
              </w:rPr>
              <w:t>Contrôle de la pression et du débit de fuite vanne amont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73124" w:rsidRPr="00273124" w:rsidTr="00273124">
        <w:trPr>
          <w:trHeight w:val="300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color w:val="000000"/>
                <w:lang w:eastAsia="fr-FR"/>
              </w:rPr>
              <w:t>Contrôle de l’obturateur et de la membrane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73124" w:rsidRPr="00273124" w:rsidTr="00273124">
        <w:trPr>
          <w:trHeight w:val="92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color w:val="000000"/>
                <w:lang w:eastAsia="fr-FR"/>
              </w:rPr>
              <w:t>Contrôle du fonctionnement de la soupape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73124" w:rsidRPr="00273124" w:rsidTr="00273124">
        <w:trPr>
          <w:trHeight w:val="111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color w:val="000000"/>
                <w:lang w:eastAsia="fr-FR"/>
              </w:rPr>
              <w:t>Contrôle de la pression et du débit de fuite vanne aval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73124" w:rsidRPr="00273124" w:rsidTr="00273124">
        <w:trPr>
          <w:trHeight w:val="114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Contrôle des </w:t>
            </w:r>
            <w:r w:rsidRPr="00273124">
              <w:rPr>
                <w:rFonts w:ascii="Symbol" w:eastAsia="Times New Roman" w:hAnsi="Symbol" w:cs="Calibri"/>
                <w:color w:val="000000"/>
                <w:lang w:eastAsia="fr-FR"/>
              </w:rPr>
              <w:t></w:t>
            </w:r>
            <w:r w:rsidRPr="00273124">
              <w:rPr>
                <w:rFonts w:ascii="Calibri" w:eastAsia="Times New Roman" w:hAnsi="Calibri" w:cs="Calibri"/>
                <w:color w:val="000000"/>
                <w:lang w:eastAsia="fr-FR"/>
              </w:rPr>
              <w:t>P (statique et dynamique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73124" w:rsidRPr="00273124" w:rsidTr="00273124">
        <w:trPr>
          <w:trHeight w:val="70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73124" w:rsidRPr="00273124" w:rsidRDefault="00273124" w:rsidP="002731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Contrôle réglementaire</w:t>
            </w:r>
            <w:r w:rsidRPr="00273124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des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disconnecteurs contrôlables</w:t>
            </w:r>
            <w:r w:rsidRPr="00273124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*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24" w:rsidRPr="00273124" w:rsidRDefault="00273124" w:rsidP="00273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73124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</w:tbl>
    <w:p w:rsidR="00CC730A" w:rsidRDefault="00CC730A" w:rsidP="00CC730A">
      <w:pPr>
        <w:spacing w:before="120" w:after="120" w:line="240" w:lineRule="auto"/>
        <w:jc w:val="both"/>
      </w:pPr>
    </w:p>
    <w:p w:rsidR="00273124" w:rsidRDefault="00273124" w:rsidP="00273124">
      <w:pPr>
        <w:spacing w:before="120" w:after="120" w:line="240" w:lineRule="auto"/>
        <w:jc w:val="both"/>
      </w:pPr>
      <w:r>
        <w:t>*</w:t>
      </w:r>
      <w:r w:rsidRPr="00273124">
        <w:t xml:space="preserve"> </w:t>
      </w:r>
      <w:r>
        <w:t xml:space="preserve">Contrôle </w:t>
      </w:r>
      <w:r w:rsidRPr="009927EC">
        <w:t>réalisé par un technicien habilité. Une attestation de l’habilitation sera fournie par l’entreprise à la personne publique.</w:t>
      </w:r>
    </w:p>
    <w:p w:rsidR="00273124" w:rsidRDefault="00273124" w:rsidP="00273124">
      <w:pPr>
        <w:spacing w:before="120" w:after="120" w:line="240" w:lineRule="auto"/>
        <w:jc w:val="both"/>
      </w:pPr>
    </w:p>
    <w:p w:rsidR="00CC730A" w:rsidRDefault="00CC730A" w:rsidP="00CC730A">
      <w:pPr>
        <w:pStyle w:val="Paragraphedeliste"/>
        <w:numPr>
          <w:ilvl w:val="0"/>
          <w:numId w:val="5"/>
        </w:numPr>
        <w:spacing w:before="120" w:after="120" w:line="240" w:lineRule="auto"/>
        <w:jc w:val="both"/>
      </w:pPr>
      <w:r>
        <w:t>Maintenance corrective.</w:t>
      </w:r>
    </w:p>
    <w:p w:rsidR="00CC730A" w:rsidRPr="003F6FB2" w:rsidRDefault="00CC730A" w:rsidP="00CC730A">
      <w:r w:rsidRPr="003F6FB2">
        <w:t>A la demande des utilis</w:t>
      </w:r>
      <w:r w:rsidR="00A623AF">
        <w:t xml:space="preserve">ateurs ou du représentant du </w:t>
      </w:r>
      <w:r w:rsidRPr="003F6FB2">
        <w:t>S.I.D, selon les clauses inscrites aux C.C.T.P et C.C.A.P.</w:t>
      </w:r>
    </w:p>
    <w:p w:rsidR="00CC730A" w:rsidRPr="0086271C" w:rsidRDefault="00CC730A" w:rsidP="00CC730A">
      <w:pPr>
        <w:spacing w:before="120" w:after="120" w:line="240" w:lineRule="auto"/>
        <w:ind w:left="360"/>
        <w:jc w:val="both"/>
      </w:pPr>
    </w:p>
    <w:p w:rsidR="00CC730A" w:rsidRPr="00CC730A" w:rsidRDefault="00CC730A" w:rsidP="00CC730A">
      <w:pPr>
        <w:spacing w:before="120" w:after="120" w:line="240" w:lineRule="auto"/>
        <w:jc w:val="both"/>
        <w:rPr>
          <w:b/>
        </w:rPr>
      </w:pPr>
    </w:p>
    <w:p w:rsidR="00CC730A" w:rsidRDefault="00CC730A"/>
    <w:sectPr w:rsidR="00CC73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14495"/>
    <w:multiLevelType w:val="hybridMultilevel"/>
    <w:tmpl w:val="A5460102"/>
    <w:lvl w:ilvl="0" w:tplc="49AA582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C96B38"/>
    <w:multiLevelType w:val="hybridMultilevel"/>
    <w:tmpl w:val="04D4AF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8D4FBE"/>
    <w:multiLevelType w:val="hybridMultilevel"/>
    <w:tmpl w:val="6E90F4D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2923F71"/>
    <w:multiLevelType w:val="hybridMultilevel"/>
    <w:tmpl w:val="61A21D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9B58CB"/>
    <w:multiLevelType w:val="multilevel"/>
    <w:tmpl w:val="C99047F4"/>
    <w:lvl w:ilvl="0">
      <w:start w:val="1"/>
      <w:numFmt w:val="decimal"/>
      <w:pStyle w:val="Titre1"/>
      <w:lvlText w:val="%1"/>
      <w:lvlJc w:val="left"/>
      <w:pPr>
        <w:tabs>
          <w:tab w:val="num" w:pos="789"/>
        </w:tabs>
        <w:ind w:left="789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933"/>
        </w:tabs>
        <w:ind w:left="933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1077"/>
        </w:tabs>
        <w:ind w:left="1077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1221"/>
        </w:tabs>
        <w:ind w:left="1221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365"/>
        </w:tabs>
        <w:ind w:left="1365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509"/>
        </w:tabs>
        <w:ind w:left="1509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653"/>
        </w:tabs>
        <w:ind w:left="1653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797"/>
        </w:tabs>
        <w:ind w:left="1797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941"/>
        </w:tabs>
        <w:ind w:left="1941" w:hanging="1584"/>
      </w:pPr>
    </w:lvl>
  </w:abstractNum>
  <w:abstractNum w:abstractNumId="5" w15:restartNumberingAfterBreak="0">
    <w:nsid w:val="7C5936EE"/>
    <w:multiLevelType w:val="hybridMultilevel"/>
    <w:tmpl w:val="FAD443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30A"/>
    <w:rsid w:val="000D0BFE"/>
    <w:rsid w:val="00273124"/>
    <w:rsid w:val="00674CDF"/>
    <w:rsid w:val="00A623AF"/>
    <w:rsid w:val="00CC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95957"/>
  <w15:chartTrackingRefBased/>
  <w15:docId w15:val="{3824D0DE-D685-4325-B885-F951487C6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730A"/>
  </w:style>
  <w:style w:type="paragraph" w:styleId="Titre1">
    <w:name w:val="heading 1"/>
    <w:basedOn w:val="Normal"/>
    <w:next w:val="Normal"/>
    <w:link w:val="Titre1Car"/>
    <w:qFormat/>
    <w:rsid w:val="00273124"/>
    <w:pPr>
      <w:keepNext/>
      <w:numPr>
        <w:numId w:val="6"/>
      </w:numPr>
      <w:spacing w:before="200" w:after="0" w:line="240" w:lineRule="auto"/>
      <w:jc w:val="both"/>
      <w:outlineLvl w:val="0"/>
    </w:pPr>
    <w:rPr>
      <w:rFonts w:ascii="Calibri" w:eastAsia="Times New Roman" w:hAnsi="Calibri" w:cs="Times New Roman"/>
      <w:b/>
      <w:bCs/>
      <w:small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273124"/>
    <w:pPr>
      <w:keepNext/>
      <w:numPr>
        <w:ilvl w:val="1"/>
        <w:numId w:val="6"/>
      </w:numPr>
      <w:spacing w:before="240" w:after="180" w:line="240" w:lineRule="auto"/>
      <w:jc w:val="both"/>
      <w:outlineLvl w:val="1"/>
    </w:pPr>
    <w:rPr>
      <w:rFonts w:ascii="Calibri" w:eastAsia="Times New Roman" w:hAnsi="Calibri" w:cs="Arial"/>
      <w:bCs/>
      <w:iCs/>
      <w:u w:val="single"/>
      <w:lang w:eastAsia="fr-FR"/>
    </w:rPr>
  </w:style>
  <w:style w:type="paragraph" w:styleId="Titre3">
    <w:name w:val="heading 3"/>
    <w:basedOn w:val="Normal"/>
    <w:next w:val="Normal"/>
    <w:link w:val="Titre3Car"/>
    <w:qFormat/>
    <w:rsid w:val="00273124"/>
    <w:pPr>
      <w:keepNext/>
      <w:numPr>
        <w:ilvl w:val="2"/>
        <w:numId w:val="6"/>
      </w:numPr>
      <w:spacing w:before="240" w:after="60" w:line="240" w:lineRule="auto"/>
      <w:jc w:val="both"/>
      <w:outlineLvl w:val="2"/>
    </w:pPr>
    <w:rPr>
      <w:rFonts w:ascii="Calibri" w:eastAsia="Times New Roman" w:hAnsi="Calibri" w:cs="Arial"/>
      <w:b/>
      <w:bCs/>
      <w:sz w:val="26"/>
      <w:szCs w:val="26"/>
      <w:lang w:eastAsia="fr-FR"/>
    </w:rPr>
  </w:style>
  <w:style w:type="paragraph" w:styleId="Titre4">
    <w:name w:val="heading 4"/>
    <w:basedOn w:val="Normal"/>
    <w:next w:val="Normal"/>
    <w:link w:val="Titre4Car"/>
    <w:qFormat/>
    <w:rsid w:val="00273124"/>
    <w:pPr>
      <w:keepNext/>
      <w:numPr>
        <w:ilvl w:val="3"/>
        <w:numId w:val="6"/>
      </w:numPr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paragraph" w:styleId="Titre5">
    <w:name w:val="heading 5"/>
    <w:basedOn w:val="Normal"/>
    <w:next w:val="Normal"/>
    <w:link w:val="Titre5Car"/>
    <w:qFormat/>
    <w:rsid w:val="00273124"/>
    <w:pPr>
      <w:numPr>
        <w:ilvl w:val="4"/>
        <w:numId w:val="6"/>
      </w:numPr>
      <w:spacing w:before="240" w:after="60" w:line="240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fr-FR"/>
    </w:rPr>
  </w:style>
  <w:style w:type="paragraph" w:styleId="Titre6">
    <w:name w:val="heading 6"/>
    <w:basedOn w:val="Normal"/>
    <w:next w:val="Normal"/>
    <w:link w:val="Titre6Car"/>
    <w:qFormat/>
    <w:rsid w:val="00273124"/>
    <w:pPr>
      <w:numPr>
        <w:ilvl w:val="5"/>
        <w:numId w:val="6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fr-FR"/>
    </w:rPr>
  </w:style>
  <w:style w:type="paragraph" w:styleId="Titre7">
    <w:name w:val="heading 7"/>
    <w:basedOn w:val="Normal"/>
    <w:next w:val="Normal"/>
    <w:link w:val="Titre7Car"/>
    <w:qFormat/>
    <w:rsid w:val="00273124"/>
    <w:pPr>
      <w:numPr>
        <w:ilvl w:val="6"/>
        <w:numId w:val="6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qFormat/>
    <w:rsid w:val="00273124"/>
    <w:pPr>
      <w:numPr>
        <w:ilvl w:val="7"/>
        <w:numId w:val="6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paragraph" w:styleId="Titre9">
    <w:name w:val="heading 9"/>
    <w:basedOn w:val="Normal"/>
    <w:next w:val="Normal"/>
    <w:link w:val="Titre9Car"/>
    <w:qFormat/>
    <w:rsid w:val="00273124"/>
    <w:pPr>
      <w:numPr>
        <w:ilvl w:val="8"/>
        <w:numId w:val="6"/>
      </w:numPr>
      <w:spacing w:before="240" w:after="60" w:line="240" w:lineRule="auto"/>
      <w:jc w:val="both"/>
      <w:outlineLvl w:val="8"/>
    </w:pPr>
    <w:rPr>
      <w:rFonts w:ascii="Calibri" w:eastAsia="Times New Roman" w:hAnsi="Calibri" w:cs="Aria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link w:val="Style1Car"/>
    <w:qFormat/>
    <w:rsid w:val="00CC730A"/>
    <w:pPr>
      <w:spacing w:before="60" w:after="0" w:line="240" w:lineRule="auto"/>
      <w:jc w:val="both"/>
    </w:pPr>
    <w:rPr>
      <w:rFonts w:ascii="Calibri" w:eastAsia="Times New Roman" w:hAnsi="Calibri" w:cs="Arial"/>
      <w:lang w:eastAsia="fr-FR"/>
    </w:rPr>
  </w:style>
  <w:style w:type="character" w:customStyle="1" w:styleId="Style1Car">
    <w:name w:val="Style1 Car"/>
    <w:link w:val="Style1"/>
    <w:rsid w:val="00CC730A"/>
    <w:rPr>
      <w:rFonts w:ascii="Calibri" w:eastAsia="Times New Roman" w:hAnsi="Calibri" w:cs="Arial"/>
      <w:lang w:eastAsia="fr-FR"/>
    </w:rPr>
  </w:style>
  <w:style w:type="paragraph" w:styleId="Paragraphedeliste">
    <w:name w:val="List Paragraph"/>
    <w:basedOn w:val="Normal"/>
    <w:uiPriority w:val="34"/>
    <w:qFormat/>
    <w:rsid w:val="00CC730A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273124"/>
    <w:rPr>
      <w:rFonts w:ascii="Calibri" w:eastAsia="Times New Roman" w:hAnsi="Calibri" w:cs="Times New Roman"/>
      <w:b/>
      <w:bCs/>
      <w:small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273124"/>
    <w:rPr>
      <w:rFonts w:ascii="Calibri" w:eastAsia="Times New Roman" w:hAnsi="Calibri" w:cs="Arial"/>
      <w:bCs/>
      <w:iCs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273124"/>
    <w:rPr>
      <w:rFonts w:ascii="Calibri" w:eastAsia="Times New Roman" w:hAnsi="Calibri" w:cs="Arial"/>
      <w:b/>
      <w:bCs/>
      <w:sz w:val="26"/>
      <w:szCs w:val="26"/>
      <w:lang w:eastAsia="fr-FR"/>
    </w:rPr>
  </w:style>
  <w:style w:type="character" w:customStyle="1" w:styleId="Titre4Car">
    <w:name w:val="Titre 4 Car"/>
    <w:basedOn w:val="Policepardfaut"/>
    <w:link w:val="Titre4"/>
    <w:rsid w:val="00273124"/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273124"/>
    <w:rPr>
      <w:rFonts w:ascii="Calibri" w:eastAsia="Times New Roman" w:hAnsi="Calibri" w:cs="Times New Roman"/>
      <w:b/>
      <w:bCs/>
      <w:i/>
      <w:iCs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273124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rsid w:val="00273124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273124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273124"/>
    <w:rPr>
      <w:rFonts w:ascii="Calibri" w:eastAsia="Times New Roman" w:hAnsi="Calibri" w:cs="Arial"/>
      <w:lang w:eastAsia="fr-FR"/>
    </w:rPr>
  </w:style>
  <w:style w:type="table" w:styleId="Grilledutableau">
    <w:name w:val="Table Grid"/>
    <w:basedOn w:val="TableauNormal"/>
    <w:uiPriority w:val="39"/>
    <w:rsid w:val="002731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0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489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 Nicolas TSEF</dc:creator>
  <cp:keywords/>
  <dc:description/>
  <cp:lastModifiedBy>DROGUET Mickaël </cp:lastModifiedBy>
  <cp:revision>3</cp:revision>
  <dcterms:created xsi:type="dcterms:W3CDTF">2025-04-16T07:37:00Z</dcterms:created>
  <dcterms:modified xsi:type="dcterms:W3CDTF">2025-08-26T07:15:00Z</dcterms:modified>
</cp:coreProperties>
</file>